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FA" w:rsidRDefault="001015FA" w:rsidP="001015FA">
      <w:pPr>
        <w:spacing w:after="0" w:line="240" w:lineRule="auto"/>
        <w:ind w:firstLine="540"/>
        <w:jc w:val="right"/>
        <w:rPr>
          <w:rFonts w:ascii="Times New Roman" w:eastAsia="Arial" w:hAnsi="Times New Roman"/>
          <w:b/>
          <w:sz w:val="20"/>
          <w:szCs w:val="24"/>
          <w:lang w:eastAsia="ar-SA"/>
        </w:rPr>
      </w:pPr>
      <w:r>
        <w:rPr>
          <w:rFonts w:ascii="Times New Roman" w:eastAsia="Arial" w:hAnsi="Times New Roman"/>
          <w:b/>
          <w:sz w:val="20"/>
          <w:szCs w:val="24"/>
          <w:lang w:eastAsia="ar-SA"/>
        </w:rPr>
        <w:t>Приложение №1 к Документации</w:t>
      </w:r>
    </w:p>
    <w:p w:rsidR="00E94BB8" w:rsidRPr="00E94BB8" w:rsidRDefault="00D53732" w:rsidP="00D53732">
      <w:pPr>
        <w:pStyle w:val="af1"/>
        <w:spacing w:before="0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20"/>
          <w:szCs w:val="24"/>
        </w:rPr>
        <w:t>ЛОТ №</w:t>
      </w:r>
      <w:r w:rsidR="00FE7D68">
        <w:rPr>
          <w:rFonts w:ascii="Times New Roman" w:hAnsi="Times New Roman"/>
          <w:b/>
          <w:sz w:val="20"/>
          <w:szCs w:val="24"/>
        </w:rPr>
        <w:t>1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="00E94BB8" w:rsidRPr="00E94BB8">
        <w:rPr>
          <w:rFonts w:ascii="Times New Roman" w:hAnsi="Times New Roman"/>
          <w:b/>
          <w:sz w:val="20"/>
          <w:szCs w:val="24"/>
        </w:rPr>
        <w:t>Филиал «Нижнеянская нефтебаза», РС(Я), Усть-Янский район, п. Нижнеянск</w:t>
      </w:r>
    </w:p>
    <w:p w:rsidR="00E94BB8" w:rsidRDefault="00E94BB8" w:rsidP="00E94BB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highlight w:val="yellow"/>
          <w:lang w:eastAsia="ar-SA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611"/>
        <w:gridCol w:w="1271"/>
        <w:gridCol w:w="1505"/>
        <w:gridCol w:w="1616"/>
        <w:gridCol w:w="1619"/>
        <w:gridCol w:w="2012"/>
        <w:gridCol w:w="4253"/>
        <w:gridCol w:w="1701"/>
      </w:tblGrid>
      <w:tr w:rsidR="00E94BB8" w:rsidRPr="00F971BA" w:rsidTr="001F41AD">
        <w:trPr>
          <w:trHeight w:val="418"/>
        </w:trPr>
        <w:tc>
          <w:tcPr>
            <w:tcW w:w="1611" w:type="dxa"/>
            <w:vMerge w:val="restart"/>
            <w:vAlign w:val="center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Месторасположение Резервуаров</w:t>
            </w:r>
          </w:p>
        </w:tc>
        <w:tc>
          <w:tcPr>
            <w:tcW w:w="1271" w:type="dxa"/>
            <w:vMerge w:val="restart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 xml:space="preserve">Резервуары и их объем </w:t>
            </w:r>
          </w:p>
        </w:tc>
        <w:tc>
          <w:tcPr>
            <w:tcW w:w="1505" w:type="dxa"/>
            <w:vMerge w:val="restart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971BA">
              <w:rPr>
                <w:rFonts w:ascii="Times New Roman" w:hAnsi="Times New Roman"/>
              </w:rPr>
              <w:t>Наличие донных отложений темных нефтепродуктов (отработка группы ММО), м3.</w:t>
            </w:r>
          </w:p>
        </w:tc>
        <w:tc>
          <w:tcPr>
            <w:tcW w:w="5247" w:type="dxa"/>
            <w:gridSpan w:val="3"/>
          </w:tcPr>
          <w:p w:rsidR="00E94BB8" w:rsidRPr="00F971BA" w:rsidRDefault="00E94BB8" w:rsidP="000F2D1E">
            <w:pPr>
              <w:spacing w:after="0" w:line="240" w:lineRule="auto"/>
              <w:jc w:val="center"/>
            </w:pPr>
            <w:r w:rsidRPr="00F971BA">
              <w:rPr>
                <w:rFonts w:ascii="Times New Roman" w:hAnsi="Times New Roman"/>
                <w:color w:val="333333"/>
                <w:shd w:val="clear" w:color="auto" w:fill="FFFFFF"/>
              </w:rPr>
              <w:t>Цена без учёта НДС, руб. за 1 ед / 1 км.</w:t>
            </w:r>
          </w:p>
        </w:tc>
        <w:tc>
          <w:tcPr>
            <w:tcW w:w="4253" w:type="dxa"/>
            <w:vMerge w:val="restart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Коэффициент</w:t>
            </w:r>
          </w:p>
          <w:p w:rsidR="00E94BB8" w:rsidRPr="00F971BA" w:rsidRDefault="00E94BB8" w:rsidP="000F2D1E">
            <w:pPr>
              <w:spacing w:after="0" w:line="240" w:lineRule="auto"/>
              <w:jc w:val="center"/>
            </w:pPr>
            <w:r w:rsidRPr="00F971BA">
              <w:rPr>
                <w:rFonts w:ascii="Times New Roman" w:hAnsi="Times New Roman"/>
              </w:rPr>
              <w:t>вариации цены</w:t>
            </w:r>
          </w:p>
        </w:tc>
        <w:tc>
          <w:tcPr>
            <w:tcW w:w="1701" w:type="dxa"/>
            <w:vMerge w:val="restart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 xml:space="preserve">Начальная (максимальная) цена договора </w:t>
            </w:r>
          </w:p>
        </w:tc>
      </w:tr>
      <w:tr w:rsidR="00E94BB8" w:rsidRPr="00F971BA" w:rsidTr="001F41AD">
        <w:trPr>
          <w:trHeight w:val="1262"/>
        </w:trPr>
        <w:tc>
          <w:tcPr>
            <w:tcW w:w="1611" w:type="dxa"/>
            <w:vMerge/>
            <w:vAlign w:val="center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ООО «СИНЭКС»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ООО «Гидротехнологии Сибири»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ООО «Экология-Пром Урал»</w:t>
            </w:r>
          </w:p>
        </w:tc>
        <w:tc>
          <w:tcPr>
            <w:tcW w:w="4253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center"/>
            </w:pPr>
          </w:p>
        </w:tc>
        <w:tc>
          <w:tcPr>
            <w:tcW w:w="170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94BB8" w:rsidRPr="00F971BA" w:rsidTr="001F41AD">
        <w:trPr>
          <w:trHeight w:val="560"/>
        </w:trPr>
        <w:tc>
          <w:tcPr>
            <w:tcW w:w="1611" w:type="dxa"/>
            <w:vMerge w:val="restart"/>
            <w:vAlign w:val="center"/>
          </w:tcPr>
          <w:p w:rsidR="00E94BB8" w:rsidRPr="00F971BA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Филиал «Нижнеянская нефтебаза», РС(Я), Усть-Янский район, п. Нижнеянск, Нижнеянская нефтебаза</w:t>
            </w:r>
          </w:p>
        </w:tc>
        <w:tc>
          <w:tcPr>
            <w:tcW w:w="1271" w:type="dxa"/>
          </w:tcPr>
          <w:p w:rsidR="00E94BB8" w:rsidRPr="00F971BA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РВС-3000 №32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50,0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1 980 640,00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 xml:space="preserve">750 000,00 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48,93%)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1 131 823,87</w:t>
            </w:r>
          </w:p>
        </w:tc>
      </w:tr>
      <w:tr w:rsidR="00E94BB8" w:rsidRPr="00F971BA" w:rsidTr="001F41AD">
        <w:trPr>
          <w:trHeight w:val="636"/>
        </w:trPr>
        <w:tc>
          <w:tcPr>
            <w:tcW w:w="1611" w:type="dxa"/>
            <w:vMerge/>
            <w:vAlign w:val="center"/>
          </w:tcPr>
          <w:p w:rsidR="00E94BB8" w:rsidRPr="00F971BA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pPr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РВС-3000 №33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77,2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1 980 640,00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1 003 600,00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b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38,70%)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1 131 823,87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pPr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РВС-3000 №43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0,00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 xml:space="preserve">1 557 000,00 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500 000,00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50,04%)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1 131 823,87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РВС-3000 №47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0,00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1 780 573,00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500 000,00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56,29%)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b/>
              </w:rPr>
            </w:pPr>
            <w:r w:rsidRPr="00F971BA">
              <w:rPr>
                <w:rFonts w:ascii="Times New Roman" w:hAnsi="Times New Roman"/>
                <w:b/>
              </w:rPr>
              <w:t>1 131 823,87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РВС-3000 №44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46,9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1 685 785,00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938 000,00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31,00%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1 251 869,33</w:t>
            </w:r>
          </w:p>
        </w:tc>
      </w:tr>
      <w:tr w:rsidR="00E94BB8" w:rsidRPr="00F971BA" w:rsidTr="001F41AD">
        <w:trPr>
          <w:trHeight w:val="14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РВС-3000 №45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31,2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1 980 640,00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624 000,00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56,29%)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1 131 823,87</w:t>
            </w:r>
          </w:p>
        </w:tc>
      </w:tr>
      <w:tr w:rsidR="00E94BB8" w:rsidRPr="00F971BA" w:rsidTr="001F41AD">
        <w:trPr>
          <w:trHeight w:val="1275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РВС-3000 №46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61,8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2 070 464,00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</w:pPr>
            <w:r w:rsidRPr="00F971BA">
              <w:rPr>
                <w:rFonts w:ascii="Times New Roman" w:hAnsi="Times New Roman"/>
              </w:rPr>
              <w:t>1 131 823,87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803 400,00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49,25%)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1 131 823,87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РВС-2000 №12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42,5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1 714 590,00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905 459,10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43,67%)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905 459,10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РВС-2000 №22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19,6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1 626 315,00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905 459,10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637 500,00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48,41%)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905 459,10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РВС-2000 №23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12,7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1 619 687,00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905 459,10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588 000,00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50,92%)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905 459,10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РВС-2000 №24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10,4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1 575 360,00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905 459,10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508 000,00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 xml:space="preserve">В связи с превышением коэффициента вариации более 33% (составил 54,15%) для определения НМЦД были исключены самые </w:t>
            </w:r>
            <w:r w:rsidRPr="00F971BA">
              <w:rPr>
                <w:rFonts w:ascii="Times New Roman" w:hAnsi="Times New Roman"/>
              </w:rPr>
              <w:lastRenderedPageBreak/>
              <w:t>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lastRenderedPageBreak/>
              <w:t>905 459,10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РВС-700 №26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11,6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418 568,40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679 094,32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520 000,00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24,35%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539 220,67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РВС-700 №27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11,6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387 000,00</w:t>
            </w:r>
          </w:p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679 094,32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348 000,00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38,39%)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679 094,32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 w:val="restart"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РВС-400 №4м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10,9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414 000,00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565 911,94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348 000,00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25,24 %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442 637,00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РВС-400 №3м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8,7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414 000,00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565 911,94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 xml:space="preserve">327 000,00 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27,76 %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435637.00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РВС-100 №2м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315 000,00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339 547,16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261 000,00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13,17 %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305182.33</w:t>
            </w:r>
          </w:p>
        </w:tc>
      </w:tr>
      <w:tr w:rsidR="00E94BB8" w:rsidRPr="00F971BA" w:rsidTr="001F41AD">
        <w:trPr>
          <w:trHeight w:val="510"/>
        </w:trPr>
        <w:tc>
          <w:tcPr>
            <w:tcW w:w="1611" w:type="dxa"/>
            <w:vMerge/>
          </w:tcPr>
          <w:p w:rsidR="00E94BB8" w:rsidRPr="00F971BA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E94BB8" w:rsidRPr="00F971BA" w:rsidRDefault="00E94BB8" w:rsidP="000F2D1E">
            <w:r w:rsidRPr="00F971BA">
              <w:rPr>
                <w:rFonts w:ascii="Times New Roman" w:hAnsi="Times New Roman"/>
              </w:rPr>
              <w:t>РВС-100 №1м</w:t>
            </w:r>
          </w:p>
        </w:tc>
        <w:tc>
          <w:tcPr>
            <w:tcW w:w="1505" w:type="dxa"/>
          </w:tcPr>
          <w:p w:rsidR="00E94BB8" w:rsidRPr="00F971BA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1BA">
              <w:rPr>
                <w:rFonts w:ascii="Times New Roman" w:eastAsia="Times New Roman" w:hAnsi="Times New Roman"/>
                <w:szCs w:val="24"/>
              </w:rPr>
              <w:t>8,7</w:t>
            </w:r>
          </w:p>
        </w:tc>
        <w:tc>
          <w:tcPr>
            <w:tcW w:w="1616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369 000,00</w:t>
            </w:r>
          </w:p>
        </w:tc>
        <w:tc>
          <w:tcPr>
            <w:tcW w:w="1619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339 547,16</w:t>
            </w:r>
          </w:p>
        </w:tc>
        <w:tc>
          <w:tcPr>
            <w:tcW w:w="2012" w:type="dxa"/>
          </w:tcPr>
          <w:p w:rsidR="00E94BB8" w:rsidRPr="00F971BA" w:rsidRDefault="00E94BB8" w:rsidP="000F2D1E">
            <w:pPr>
              <w:jc w:val="both"/>
              <w:rPr>
                <w:rFonts w:ascii="Times New Roman" w:hAnsi="Times New Roman"/>
              </w:rPr>
            </w:pPr>
            <w:r w:rsidRPr="00F971BA">
              <w:rPr>
                <w:rFonts w:ascii="Times New Roman" w:hAnsi="Times New Roman"/>
              </w:rPr>
              <w:t>150 000,00</w:t>
            </w:r>
          </w:p>
        </w:tc>
        <w:tc>
          <w:tcPr>
            <w:tcW w:w="4253" w:type="dxa"/>
          </w:tcPr>
          <w:p w:rsidR="00E94BB8" w:rsidRPr="00F971BA" w:rsidRDefault="00E94BB8" w:rsidP="000F2D1E">
            <w:pPr>
              <w:jc w:val="both"/>
            </w:pPr>
            <w:r w:rsidRPr="00F971BA">
              <w:rPr>
                <w:rFonts w:ascii="Times New Roman" w:hAnsi="Times New Roman"/>
              </w:rPr>
              <w:t>В связи с превышением коэффициента вариации более 33% (составил 41,53%)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F971BA">
              <w:rPr>
                <w:rFonts w:ascii="Times New Roman" w:hAnsi="Times New Roman"/>
                <w:b/>
              </w:rPr>
              <w:t>339 547,16</w:t>
            </w:r>
          </w:p>
        </w:tc>
      </w:tr>
      <w:tr w:rsidR="00E94BB8" w:rsidRPr="00F971BA" w:rsidTr="001F41AD">
        <w:trPr>
          <w:trHeight w:val="485"/>
        </w:trPr>
        <w:tc>
          <w:tcPr>
            <w:tcW w:w="13887" w:type="dxa"/>
            <w:gridSpan w:val="7"/>
          </w:tcPr>
          <w:p w:rsidR="00E94BB8" w:rsidRPr="00F971BA" w:rsidRDefault="00E94BB8" w:rsidP="000F2D1E">
            <w:pPr>
              <w:spacing w:after="0" w:line="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E94BB8" w:rsidRPr="00F971BA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239AF">
              <w:rPr>
                <w:rFonts w:ascii="Times New Roman" w:hAnsi="Times New Roman"/>
                <w:b/>
              </w:rPr>
              <w:t>14 405 967,43</w:t>
            </w:r>
          </w:p>
        </w:tc>
      </w:tr>
    </w:tbl>
    <w:p w:rsidR="00E94BB8" w:rsidRPr="00E94BB8" w:rsidRDefault="00E94BB8" w:rsidP="00E94BB8">
      <w:pPr>
        <w:rPr>
          <w:rFonts w:ascii="Times New Roman" w:eastAsia="Arial" w:hAnsi="Times New Roman"/>
          <w:sz w:val="24"/>
          <w:szCs w:val="24"/>
          <w:highlight w:val="yellow"/>
          <w:lang w:eastAsia="ar-SA"/>
        </w:rPr>
      </w:pPr>
    </w:p>
    <w:p w:rsidR="00E94BB8" w:rsidRDefault="00D53732" w:rsidP="00E94BB8">
      <w:pPr>
        <w:tabs>
          <w:tab w:val="left" w:pos="4635"/>
        </w:tabs>
        <w:jc w:val="center"/>
        <w:rPr>
          <w:rFonts w:ascii="Times New Roman" w:eastAsia="Arial" w:hAnsi="Times New Roman"/>
          <w:b/>
          <w:sz w:val="20"/>
          <w:szCs w:val="24"/>
          <w:lang w:eastAsia="ar-SA"/>
        </w:rPr>
      </w:pPr>
      <w:r>
        <w:rPr>
          <w:rFonts w:ascii="Times New Roman" w:eastAsia="Arial" w:hAnsi="Times New Roman"/>
          <w:b/>
          <w:sz w:val="20"/>
          <w:szCs w:val="24"/>
          <w:lang w:eastAsia="ar-SA"/>
        </w:rPr>
        <w:t>ЛОТ №</w:t>
      </w:r>
      <w:r w:rsidR="00FE7D68">
        <w:rPr>
          <w:rFonts w:ascii="Times New Roman" w:eastAsia="Arial" w:hAnsi="Times New Roman"/>
          <w:b/>
          <w:sz w:val="20"/>
          <w:szCs w:val="24"/>
          <w:lang w:eastAsia="ar-SA"/>
        </w:rPr>
        <w:t>2</w:t>
      </w:r>
      <w:r w:rsidR="00E94BB8" w:rsidRPr="00E94BB8">
        <w:rPr>
          <w:rFonts w:ascii="Times New Roman" w:eastAsia="Arial" w:hAnsi="Times New Roman"/>
          <w:b/>
          <w:sz w:val="20"/>
          <w:szCs w:val="24"/>
          <w:lang w:eastAsia="ar-SA"/>
        </w:rPr>
        <w:t xml:space="preserve"> Филиал «Олекминская нефтебаза», РС(Я), Олекминский улус, г. Олекминск, пос. Нефтебаза ул. Набережная, 2.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1418"/>
        <w:gridCol w:w="1701"/>
        <w:gridCol w:w="1842"/>
        <w:gridCol w:w="3544"/>
        <w:gridCol w:w="1559"/>
      </w:tblGrid>
      <w:tr w:rsidR="00E94BB8" w:rsidRPr="0098750C" w:rsidTr="00E94BB8">
        <w:trPr>
          <w:trHeight w:val="355"/>
        </w:trPr>
        <w:tc>
          <w:tcPr>
            <w:tcW w:w="1696" w:type="dxa"/>
            <w:vMerge w:val="restart"/>
            <w:vAlign w:val="center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Месторасположение Резервуаров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 xml:space="preserve">Резервуары и их объем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8750C">
              <w:rPr>
                <w:rFonts w:ascii="Times New Roman" w:hAnsi="Times New Roman"/>
              </w:rPr>
              <w:t>Наличие донных отложений темных нефтепродуктов (отработка группы ММО), м3.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240" w:lineRule="auto"/>
              <w:jc w:val="center"/>
            </w:pPr>
            <w:r w:rsidRPr="0098750C">
              <w:rPr>
                <w:rFonts w:ascii="Times New Roman" w:hAnsi="Times New Roman"/>
                <w:color w:val="333333"/>
                <w:shd w:val="clear" w:color="auto" w:fill="FFFFFF"/>
              </w:rPr>
              <w:t>Цена без учёта НДС, руб. за 1 ед / 1 км.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Коэффициент</w:t>
            </w:r>
          </w:p>
          <w:p w:rsidR="00E94BB8" w:rsidRPr="0098750C" w:rsidRDefault="00E94BB8" w:rsidP="000F2D1E">
            <w:pPr>
              <w:spacing w:after="0" w:line="0" w:lineRule="atLeast"/>
              <w:jc w:val="center"/>
              <w:rPr>
                <w:color w:val="333333"/>
                <w:shd w:val="clear" w:color="auto" w:fill="FFFFFF"/>
              </w:rPr>
            </w:pPr>
            <w:r w:rsidRPr="0098750C">
              <w:rPr>
                <w:rFonts w:ascii="Times New Roman" w:hAnsi="Times New Roman"/>
              </w:rPr>
              <w:lastRenderedPageBreak/>
              <w:t>вариации цены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8750C">
              <w:rPr>
                <w:rFonts w:ascii="Times New Roman" w:hAnsi="Times New Roman"/>
              </w:rPr>
              <w:lastRenderedPageBreak/>
              <w:t xml:space="preserve">Начальная (максимальная) цена договора </w:t>
            </w:r>
          </w:p>
        </w:tc>
      </w:tr>
      <w:tr w:rsidR="00E94BB8" w:rsidRPr="0098750C" w:rsidTr="00E94BB8">
        <w:trPr>
          <w:trHeight w:val="830"/>
        </w:trPr>
        <w:tc>
          <w:tcPr>
            <w:tcW w:w="1696" w:type="dxa"/>
            <w:vMerge/>
            <w:vAlign w:val="center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ООО «СИНЭКС»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ООО «Гидротехнологии Сибири»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</w:pPr>
            <w:r w:rsidRPr="0098750C">
              <w:rPr>
                <w:rFonts w:ascii="Times New Roman" w:hAnsi="Times New Roman"/>
              </w:rPr>
              <w:t>ООО «Экология-Пром Урал»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94BB8" w:rsidRPr="0098750C" w:rsidTr="00E94BB8">
        <w:trPr>
          <w:trHeight w:val="475"/>
        </w:trPr>
        <w:tc>
          <w:tcPr>
            <w:tcW w:w="1696" w:type="dxa"/>
            <w:vMerge w:val="restart"/>
            <w:vAlign w:val="center"/>
          </w:tcPr>
          <w:p w:rsidR="00E94BB8" w:rsidRPr="0098750C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Филиал «Олекминская нефтебаза», РС(Я), Олекминский улус, г. Олекминск, пос. Нефтебаза ул. Набережная, 2.</w:t>
            </w:r>
          </w:p>
        </w:tc>
        <w:tc>
          <w:tcPr>
            <w:tcW w:w="1560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 xml:space="preserve">РВС-3000 №30 </w:t>
            </w:r>
          </w:p>
        </w:tc>
        <w:tc>
          <w:tcPr>
            <w:tcW w:w="1984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750C">
              <w:rPr>
                <w:rFonts w:ascii="Times New Roman" w:eastAsia="Times New Roman" w:hAnsi="Times New Roman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1 620 000,00</w:t>
            </w:r>
          </w:p>
        </w:tc>
        <w:tc>
          <w:tcPr>
            <w:tcW w:w="1701" w:type="dxa"/>
            <w:tcBorders>
              <w:top w:val="nil"/>
            </w:tcBorders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1 031 419,46</w:t>
            </w:r>
          </w:p>
        </w:tc>
        <w:tc>
          <w:tcPr>
            <w:tcW w:w="1842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600 000,00</w:t>
            </w:r>
          </w:p>
        </w:tc>
        <w:tc>
          <w:tcPr>
            <w:tcW w:w="3544" w:type="dxa"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В связи с превышением коэффициента вариации более 33% (составил 47,24%)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59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8750C">
              <w:rPr>
                <w:rFonts w:ascii="Times New Roman" w:hAnsi="Times New Roman"/>
                <w:b/>
              </w:rPr>
              <w:t>1 031 419,46</w:t>
            </w:r>
          </w:p>
        </w:tc>
      </w:tr>
      <w:tr w:rsidR="00E94BB8" w:rsidRPr="0098750C" w:rsidTr="00E94BB8">
        <w:trPr>
          <w:trHeight w:val="539"/>
        </w:trPr>
        <w:tc>
          <w:tcPr>
            <w:tcW w:w="1696" w:type="dxa"/>
            <w:vMerge/>
            <w:vAlign w:val="center"/>
          </w:tcPr>
          <w:p w:rsidR="00E94BB8" w:rsidRPr="0098750C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 xml:space="preserve">РВС-3000 №31 </w:t>
            </w:r>
          </w:p>
        </w:tc>
        <w:tc>
          <w:tcPr>
            <w:tcW w:w="1984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750C">
              <w:rPr>
                <w:rFonts w:ascii="Times New Roman" w:eastAsia="Times New Roman" w:hAnsi="Times New Roman"/>
                <w:szCs w:val="24"/>
              </w:rPr>
              <w:t>15,00</w:t>
            </w:r>
          </w:p>
        </w:tc>
        <w:tc>
          <w:tcPr>
            <w:tcW w:w="1418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1 620 000,00</w:t>
            </w:r>
          </w:p>
        </w:tc>
        <w:tc>
          <w:tcPr>
            <w:tcW w:w="1701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1 031 419,46</w:t>
            </w:r>
          </w:p>
        </w:tc>
        <w:tc>
          <w:tcPr>
            <w:tcW w:w="1842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600 000,00</w:t>
            </w:r>
          </w:p>
        </w:tc>
        <w:tc>
          <w:tcPr>
            <w:tcW w:w="3544" w:type="dxa"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В связи с превышением коэффициента вариации более 33% (составил 47,24%)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59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8750C">
              <w:rPr>
                <w:rFonts w:ascii="Times New Roman" w:hAnsi="Times New Roman"/>
                <w:b/>
              </w:rPr>
              <w:t>1 031 419,46</w:t>
            </w:r>
          </w:p>
        </w:tc>
      </w:tr>
      <w:tr w:rsidR="00E94BB8" w:rsidRPr="0098750C" w:rsidTr="00E94BB8">
        <w:trPr>
          <w:trHeight w:val="433"/>
        </w:trPr>
        <w:tc>
          <w:tcPr>
            <w:tcW w:w="1696" w:type="dxa"/>
            <w:vMerge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 xml:space="preserve">РВС-3000 №32 </w:t>
            </w:r>
          </w:p>
        </w:tc>
        <w:tc>
          <w:tcPr>
            <w:tcW w:w="1984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750C">
              <w:rPr>
                <w:rFonts w:ascii="Times New Roman" w:eastAsia="Times New Roman" w:hAnsi="Times New Roman"/>
                <w:szCs w:val="24"/>
              </w:rPr>
              <w:t>15,00</w:t>
            </w:r>
          </w:p>
        </w:tc>
        <w:tc>
          <w:tcPr>
            <w:tcW w:w="1418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1 620 000,00</w:t>
            </w:r>
          </w:p>
        </w:tc>
        <w:tc>
          <w:tcPr>
            <w:tcW w:w="1701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1 031 419,46</w:t>
            </w:r>
          </w:p>
        </w:tc>
        <w:tc>
          <w:tcPr>
            <w:tcW w:w="1842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600 000,00</w:t>
            </w:r>
          </w:p>
        </w:tc>
        <w:tc>
          <w:tcPr>
            <w:tcW w:w="3544" w:type="dxa"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В связи с превышением коэффициента вариации более 33% (составил 47,24%)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59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8750C">
              <w:rPr>
                <w:rFonts w:ascii="Times New Roman" w:hAnsi="Times New Roman"/>
                <w:b/>
              </w:rPr>
              <w:t>1 031 419,46</w:t>
            </w:r>
          </w:p>
        </w:tc>
      </w:tr>
      <w:tr w:rsidR="00E94BB8" w:rsidRPr="0098750C" w:rsidTr="00E94BB8">
        <w:trPr>
          <w:trHeight w:val="390"/>
        </w:trPr>
        <w:tc>
          <w:tcPr>
            <w:tcW w:w="1696" w:type="dxa"/>
            <w:vMerge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 xml:space="preserve">РВС-3000 №33 </w:t>
            </w:r>
          </w:p>
        </w:tc>
        <w:tc>
          <w:tcPr>
            <w:tcW w:w="1984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750C">
              <w:rPr>
                <w:rFonts w:ascii="Times New Roman" w:eastAsia="Times New Roman" w:hAnsi="Times New Roman"/>
                <w:szCs w:val="24"/>
              </w:rPr>
              <w:t>15,00</w:t>
            </w:r>
          </w:p>
        </w:tc>
        <w:tc>
          <w:tcPr>
            <w:tcW w:w="1418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1 620 000,00</w:t>
            </w:r>
          </w:p>
        </w:tc>
        <w:tc>
          <w:tcPr>
            <w:tcW w:w="1701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1 031 419,46</w:t>
            </w:r>
          </w:p>
        </w:tc>
        <w:tc>
          <w:tcPr>
            <w:tcW w:w="1842" w:type="dxa"/>
          </w:tcPr>
          <w:p w:rsidR="00E94BB8" w:rsidRPr="0098750C" w:rsidRDefault="00E94BB8" w:rsidP="000F2D1E">
            <w:pPr>
              <w:tabs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600 000,00</w:t>
            </w:r>
          </w:p>
        </w:tc>
        <w:tc>
          <w:tcPr>
            <w:tcW w:w="3544" w:type="dxa"/>
          </w:tcPr>
          <w:p w:rsidR="00E94BB8" w:rsidRPr="0098750C" w:rsidRDefault="00E94BB8" w:rsidP="000F2D1E">
            <w:pPr>
              <w:tabs>
                <w:tab w:val="center" w:pos="742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В связи с превышением коэффициента вариации более 33% (составил 47,24%)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59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8750C">
              <w:rPr>
                <w:rFonts w:ascii="Times New Roman" w:hAnsi="Times New Roman"/>
                <w:b/>
              </w:rPr>
              <w:t>1 031 419,46</w:t>
            </w:r>
          </w:p>
        </w:tc>
      </w:tr>
      <w:tr w:rsidR="00E94BB8" w:rsidRPr="0098750C" w:rsidTr="00E94BB8">
        <w:trPr>
          <w:trHeight w:val="390"/>
        </w:trPr>
        <w:tc>
          <w:tcPr>
            <w:tcW w:w="1696" w:type="dxa"/>
            <w:vMerge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750C">
              <w:rPr>
                <w:rFonts w:ascii="Times New Roman" w:eastAsia="Times New Roman" w:hAnsi="Times New Roman"/>
                <w:szCs w:val="24"/>
              </w:rPr>
              <w:t>РВС-2000 №25</w:t>
            </w:r>
          </w:p>
        </w:tc>
        <w:tc>
          <w:tcPr>
            <w:tcW w:w="1984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1 170 000,00</w:t>
            </w:r>
          </w:p>
        </w:tc>
        <w:tc>
          <w:tcPr>
            <w:tcW w:w="1701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957 746,64</w:t>
            </w:r>
          </w:p>
        </w:tc>
        <w:tc>
          <w:tcPr>
            <w:tcW w:w="1842" w:type="dxa"/>
          </w:tcPr>
          <w:p w:rsidR="00E94BB8" w:rsidRPr="0098750C" w:rsidRDefault="00E94BB8" w:rsidP="000F2D1E">
            <w:pPr>
              <w:tabs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600 000,00</w:t>
            </w:r>
          </w:p>
        </w:tc>
        <w:tc>
          <w:tcPr>
            <w:tcW w:w="3544" w:type="dxa"/>
          </w:tcPr>
          <w:p w:rsidR="00E94BB8" w:rsidRPr="0098750C" w:rsidRDefault="00E94BB8" w:rsidP="000F2D1E">
            <w:pPr>
              <w:tabs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31,68 %</w:t>
            </w:r>
          </w:p>
        </w:tc>
        <w:tc>
          <w:tcPr>
            <w:tcW w:w="1559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8750C">
              <w:rPr>
                <w:rFonts w:ascii="Times New Roman" w:hAnsi="Times New Roman"/>
                <w:b/>
              </w:rPr>
              <w:t>909 248,67</w:t>
            </w:r>
          </w:p>
        </w:tc>
      </w:tr>
      <w:tr w:rsidR="00E94BB8" w:rsidRPr="0098750C" w:rsidTr="00E94BB8">
        <w:trPr>
          <w:trHeight w:val="390"/>
        </w:trPr>
        <w:tc>
          <w:tcPr>
            <w:tcW w:w="1696" w:type="dxa"/>
            <w:vMerge/>
          </w:tcPr>
          <w:p w:rsidR="00E94BB8" w:rsidRPr="0098750C" w:rsidRDefault="00E94BB8" w:rsidP="000F2D1E">
            <w:pPr>
              <w:spacing w:after="0"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E94BB8" w:rsidRPr="0098750C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8750C">
              <w:rPr>
                <w:rFonts w:ascii="Times New Roman" w:eastAsia="Times New Roman" w:hAnsi="Times New Roman"/>
                <w:szCs w:val="24"/>
              </w:rPr>
              <w:t>РВС-2000 №26</w:t>
            </w:r>
          </w:p>
        </w:tc>
        <w:tc>
          <w:tcPr>
            <w:tcW w:w="1984" w:type="dxa"/>
          </w:tcPr>
          <w:p w:rsidR="00E94BB8" w:rsidRPr="0098750C" w:rsidRDefault="00E94BB8" w:rsidP="000F2D1E">
            <w:pPr>
              <w:tabs>
                <w:tab w:val="center" w:pos="1011"/>
                <w:tab w:val="right" w:pos="20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1 170 000,00</w:t>
            </w:r>
          </w:p>
        </w:tc>
        <w:tc>
          <w:tcPr>
            <w:tcW w:w="1701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957 746,64</w:t>
            </w:r>
          </w:p>
        </w:tc>
        <w:tc>
          <w:tcPr>
            <w:tcW w:w="1842" w:type="dxa"/>
          </w:tcPr>
          <w:p w:rsidR="00E94BB8" w:rsidRPr="0098750C" w:rsidRDefault="00E94BB8" w:rsidP="000F2D1E">
            <w:pPr>
              <w:tabs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600 000,00</w:t>
            </w:r>
          </w:p>
        </w:tc>
        <w:tc>
          <w:tcPr>
            <w:tcW w:w="3544" w:type="dxa"/>
          </w:tcPr>
          <w:p w:rsidR="00E94BB8" w:rsidRPr="0098750C" w:rsidRDefault="00E94BB8" w:rsidP="000F2D1E">
            <w:pPr>
              <w:tabs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8750C">
              <w:rPr>
                <w:rFonts w:ascii="Times New Roman" w:hAnsi="Times New Roman"/>
              </w:rPr>
              <w:t>31,68 %</w:t>
            </w:r>
          </w:p>
        </w:tc>
        <w:tc>
          <w:tcPr>
            <w:tcW w:w="1559" w:type="dxa"/>
          </w:tcPr>
          <w:p w:rsidR="00E94BB8" w:rsidRPr="0098750C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8750C">
              <w:rPr>
                <w:rFonts w:ascii="Times New Roman" w:hAnsi="Times New Roman"/>
                <w:b/>
              </w:rPr>
              <w:t>909 248,67</w:t>
            </w:r>
          </w:p>
        </w:tc>
      </w:tr>
      <w:tr w:rsidR="001F41AD" w:rsidRPr="0098750C" w:rsidTr="0020011C">
        <w:trPr>
          <w:trHeight w:val="161"/>
        </w:trPr>
        <w:tc>
          <w:tcPr>
            <w:tcW w:w="13745" w:type="dxa"/>
            <w:gridSpan w:val="7"/>
          </w:tcPr>
          <w:p w:rsidR="001F41AD" w:rsidRPr="0098750C" w:rsidRDefault="001F41AD" w:rsidP="000F2D1E">
            <w:pPr>
              <w:spacing w:after="0" w:line="0" w:lineRule="atLeast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1F41AD" w:rsidRPr="0098750C" w:rsidRDefault="001F41AD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F41AD">
              <w:rPr>
                <w:rFonts w:ascii="Times New Roman" w:hAnsi="Times New Roman"/>
                <w:b/>
                <w:lang w:val="en-US"/>
              </w:rPr>
              <w:t>5 944 175,18</w:t>
            </w:r>
          </w:p>
        </w:tc>
      </w:tr>
    </w:tbl>
    <w:p w:rsidR="00FE7D68" w:rsidRDefault="00FE7D68" w:rsidP="00E94BB8">
      <w:pPr>
        <w:pStyle w:val="af1"/>
        <w:spacing w:before="0"/>
        <w:ind w:firstLine="567"/>
        <w:jc w:val="center"/>
        <w:rPr>
          <w:rFonts w:ascii="Times New Roman" w:eastAsia="Arial" w:hAnsi="Times New Roman"/>
          <w:b/>
          <w:sz w:val="20"/>
          <w:szCs w:val="24"/>
          <w:lang w:eastAsia="ar-SA"/>
        </w:rPr>
      </w:pPr>
    </w:p>
    <w:p w:rsidR="00E94BB8" w:rsidRDefault="00D53732" w:rsidP="00E94BB8">
      <w:pPr>
        <w:pStyle w:val="af1"/>
        <w:spacing w:before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0"/>
          <w:szCs w:val="24"/>
          <w:lang w:eastAsia="ar-SA"/>
        </w:rPr>
        <w:t>ЛОТ №</w:t>
      </w:r>
      <w:r w:rsidR="00FE7D68">
        <w:rPr>
          <w:rFonts w:ascii="Times New Roman" w:eastAsia="Arial" w:hAnsi="Times New Roman"/>
          <w:b/>
          <w:sz w:val="20"/>
          <w:szCs w:val="24"/>
          <w:lang w:eastAsia="ar-SA"/>
        </w:rPr>
        <w:t>3</w:t>
      </w:r>
      <w:r w:rsidR="00E94BB8">
        <w:rPr>
          <w:rFonts w:ascii="Times New Roman" w:eastAsia="Arial" w:hAnsi="Times New Roman"/>
          <w:b/>
          <w:sz w:val="20"/>
          <w:szCs w:val="24"/>
          <w:lang w:eastAsia="ar-SA"/>
        </w:rPr>
        <w:t xml:space="preserve"> </w:t>
      </w:r>
      <w:r w:rsidR="00E94BB8" w:rsidRPr="00C46C70">
        <w:rPr>
          <w:rFonts w:ascii="Times New Roman" w:hAnsi="Times New Roman"/>
          <w:b/>
          <w:sz w:val="20"/>
          <w:szCs w:val="20"/>
        </w:rPr>
        <w:t>Филиал «Среднеколымская нефтебаза», РС(Я), Среднеколымский район, г. Среднеколымск, ул. Ардасенова, 6</w:t>
      </w:r>
    </w:p>
    <w:p w:rsidR="00E94BB8" w:rsidRPr="00E94BB8" w:rsidRDefault="00E94BB8" w:rsidP="00E94BB8">
      <w:pPr>
        <w:pStyle w:val="af1"/>
        <w:spacing w:before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418"/>
        <w:gridCol w:w="1842"/>
        <w:gridCol w:w="1701"/>
        <w:gridCol w:w="3969"/>
        <w:gridCol w:w="1560"/>
      </w:tblGrid>
      <w:tr w:rsidR="00E94BB8" w:rsidRPr="00C46C70" w:rsidTr="00E94BB8">
        <w:trPr>
          <w:trHeight w:val="355"/>
        </w:trPr>
        <w:tc>
          <w:tcPr>
            <w:tcW w:w="1838" w:type="dxa"/>
            <w:vMerge w:val="restart"/>
            <w:vAlign w:val="center"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Месторасположение Резервуаров</w:t>
            </w:r>
          </w:p>
        </w:tc>
        <w:tc>
          <w:tcPr>
            <w:tcW w:w="1418" w:type="dxa"/>
            <w:vMerge w:val="restart"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 xml:space="preserve">Резервуары и их объем </w:t>
            </w:r>
          </w:p>
        </w:tc>
        <w:tc>
          <w:tcPr>
            <w:tcW w:w="1984" w:type="dxa"/>
            <w:vMerge w:val="restart"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46C70">
              <w:rPr>
                <w:rFonts w:ascii="Times New Roman" w:hAnsi="Times New Roman"/>
              </w:rPr>
              <w:t>Наличие донных отложений темных нефтепродуктов (отработка группы ММО), м3.</w:t>
            </w:r>
          </w:p>
        </w:tc>
        <w:tc>
          <w:tcPr>
            <w:tcW w:w="4961" w:type="dxa"/>
            <w:gridSpan w:val="3"/>
          </w:tcPr>
          <w:p w:rsidR="00E94BB8" w:rsidRPr="00C46C70" w:rsidRDefault="00E94BB8" w:rsidP="000F2D1E">
            <w:pPr>
              <w:spacing w:after="0" w:line="240" w:lineRule="auto"/>
              <w:jc w:val="center"/>
            </w:pPr>
            <w:r w:rsidRPr="00C46C70">
              <w:rPr>
                <w:rFonts w:ascii="Times New Roman" w:hAnsi="Times New Roman"/>
                <w:color w:val="333333"/>
                <w:shd w:val="clear" w:color="auto" w:fill="FFFFFF"/>
              </w:rPr>
              <w:t>Цена без учёта НДС, руб. за 1 ед / 1 км.</w:t>
            </w:r>
          </w:p>
        </w:tc>
        <w:tc>
          <w:tcPr>
            <w:tcW w:w="3969" w:type="dxa"/>
            <w:vMerge w:val="restart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Коэффициент</w:t>
            </w:r>
          </w:p>
          <w:p w:rsidR="00E94BB8" w:rsidRPr="00C46C70" w:rsidRDefault="00E94BB8" w:rsidP="000F2D1E">
            <w:pPr>
              <w:spacing w:after="0" w:line="240" w:lineRule="auto"/>
              <w:jc w:val="center"/>
            </w:pPr>
            <w:r w:rsidRPr="00C46C70">
              <w:rPr>
                <w:rFonts w:ascii="Times New Roman" w:hAnsi="Times New Roman"/>
              </w:rPr>
              <w:t>вариации цены</w:t>
            </w:r>
          </w:p>
        </w:tc>
        <w:tc>
          <w:tcPr>
            <w:tcW w:w="1560" w:type="dxa"/>
            <w:vMerge w:val="restart"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 xml:space="preserve">Начальная (максимальная) цена договора </w:t>
            </w:r>
          </w:p>
        </w:tc>
      </w:tr>
      <w:tr w:rsidR="00E94BB8" w:rsidRPr="00C46C70" w:rsidTr="00E94BB8">
        <w:trPr>
          <w:trHeight w:val="829"/>
        </w:trPr>
        <w:tc>
          <w:tcPr>
            <w:tcW w:w="1838" w:type="dxa"/>
            <w:vMerge/>
            <w:vAlign w:val="center"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ООО «СИНЭКС»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ООО «Гидротехнологии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8" w:rsidRPr="00C46C70" w:rsidRDefault="00E94BB8" w:rsidP="000F2D1E">
            <w:pPr>
              <w:spacing w:after="0" w:line="0" w:lineRule="atLeast"/>
              <w:jc w:val="center"/>
            </w:pPr>
            <w:r w:rsidRPr="00C46C70">
              <w:rPr>
                <w:rFonts w:ascii="Times New Roman" w:hAnsi="Times New Roman"/>
              </w:rPr>
              <w:t>ООО «Экология-Пром Урал»</w:t>
            </w:r>
          </w:p>
        </w:tc>
        <w:tc>
          <w:tcPr>
            <w:tcW w:w="3969" w:type="dxa"/>
            <w:vMerge/>
          </w:tcPr>
          <w:p w:rsidR="00E94BB8" w:rsidRPr="00C46C70" w:rsidRDefault="00E94BB8" w:rsidP="000F2D1E">
            <w:pPr>
              <w:spacing w:after="0" w:line="0" w:lineRule="atLeast"/>
              <w:jc w:val="center"/>
            </w:pPr>
          </w:p>
        </w:tc>
        <w:tc>
          <w:tcPr>
            <w:tcW w:w="1560" w:type="dxa"/>
            <w:vMerge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94BB8" w:rsidRPr="00C46C70" w:rsidTr="00E94BB8">
        <w:trPr>
          <w:trHeight w:val="1574"/>
        </w:trPr>
        <w:tc>
          <w:tcPr>
            <w:tcW w:w="1838" w:type="dxa"/>
            <w:vMerge w:val="restart"/>
            <w:vAlign w:val="center"/>
          </w:tcPr>
          <w:p w:rsidR="00E94BB8" w:rsidRPr="00C46C70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lastRenderedPageBreak/>
              <w:t>Филиал «Среднеколымская нефтебаза», РС(Я), Среднеколымский район, г. Среднеколымск, ул. Ардасенова, 6</w:t>
            </w:r>
          </w:p>
        </w:tc>
        <w:tc>
          <w:tcPr>
            <w:tcW w:w="1418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РГС-25</w:t>
            </w:r>
          </w:p>
        </w:tc>
        <w:tc>
          <w:tcPr>
            <w:tcW w:w="1984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2,00</w:t>
            </w:r>
          </w:p>
        </w:tc>
        <w:tc>
          <w:tcPr>
            <w:tcW w:w="1418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1 050 000,00</w:t>
            </w:r>
          </w:p>
        </w:tc>
        <w:tc>
          <w:tcPr>
            <w:tcW w:w="1842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666 574,24</w:t>
            </w:r>
          </w:p>
        </w:tc>
        <w:tc>
          <w:tcPr>
            <w:tcW w:w="1701" w:type="dxa"/>
          </w:tcPr>
          <w:p w:rsidR="00E94BB8" w:rsidRPr="00C46C70" w:rsidRDefault="00E94BB8" w:rsidP="000F2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375 600,00</w:t>
            </w:r>
          </w:p>
        </w:tc>
        <w:tc>
          <w:tcPr>
            <w:tcW w:w="3969" w:type="dxa"/>
          </w:tcPr>
          <w:p w:rsidR="00E94BB8" w:rsidRPr="00C46C70" w:rsidRDefault="00E94BB8" w:rsidP="000F2D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6C70">
              <w:rPr>
                <w:rFonts w:ascii="Times New Roman" w:hAnsi="Times New Roman"/>
                <w:color w:val="000000"/>
              </w:rPr>
              <w:t>В связи с превышением коэффициента вариации более 33% (составил 48,50%)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60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C46C70">
              <w:rPr>
                <w:rFonts w:ascii="Times New Roman" w:hAnsi="Times New Roman"/>
                <w:b/>
              </w:rPr>
              <w:t>666 574,24</w:t>
            </w:r>
          </w:p>
        </w:tc>
      </w:tr>
      <w:tr w:rsidR="00E94BB8" w:rsidRPr="00C46C70" w:rsidTr="00E94BB8">
        <w:trPr>
          <w:trHeight w:val="1515"/>
        </w:trPr>
        <w:tc>
          <w:tcPr>
            <w:tcW w:w="1838" w:type="dxa"/>
            <w:vMerge/>
            <w:vAlign w:val="center"/>
          </w:tcPr>
          <w:p w:rsidR="00E94BB8" w:rsidRPr="00C46C70" w:rsidRDefault="00E94BB8" w:rsidP="000F2D1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РГС-25</w:t>
            </w:r>
          </w:p>
        </w:tc>
        <w:tc>
          <w:tcPr>
            <w:tcW w:w="1984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2,00</w:t>
            </w:r>
          </w:p>
        </w:tc>
        <w:tc>
          <w:tcPr>
            <w:tcW w:w="1418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1 050 000,00</w:t>
            </w:r>
          </w:p>
        </w:tc>
        <w:tc>
          <w:tcPr>
            <w:tcW w:w="1842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666 574,24</w:t>
            </w:r>
          </w:p>
        </w:tc>
        <w:tc>
          <w:tcPr>
            <w:tcW w:w="1701" w:type="dxa"/>
          </w:tcPr>
          <w:p w:rsidR="00E94BB8" w:rsidRPr="00C46C70" w:rsidRDefault="00E94BB8" w:rsidP="000F2D1E">
            <w:pPr>
              <w:jc w:val="both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375 600,00</w:t>
            </w:r>
          </w:p>
        </w:tc>
        <w:tc>
          <w:tcPr>
            <w:tcW w:w="3969" w:type="dxa"/>
          </w:tcPr>
          <w:p w:rsidR="00E94BB8" w:rsidRPr="00C46C70" w:rsidRDefault="00E94BB8" w:rsidP="000F2D1E">
            <w:pPr>
              <w:jc w:val="both"/>
              <w:rPr>
                <w:b/>
              </w:rPr>
            </w:pPr>
            <w:r w:rsidRPr="00C46C70">
              <w:rPr>
                <w:rFonts w:ascii="Times New Roman" w:hAnsi="Times New Roman"/>
                <w:color w:val="000000"/>
              </w:rPr>
              <w:t>В связи с превышением коэффициента вариации более 33% (составил 48,50%)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60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C46C70">
              <w:rPr>
                <w:rFonts w:ascii="Times New Roman" w:hAnsi="Times New Roman"/>
                <w:b/>
              </w:rPr>
              <w:t>666 574,24</w:t>
            </w:r>
          </w:p>
        </w:tc>
      </w:tr>
      <w:tr w:rsidR="00E94BB8" w:rsidRPr="00C46C70" w:rsidTr="00E94BB8">
        <w:trPr>
          <w:trHeight w:val="433"/>
        </w:trPr>
        <w:tc>
          <w:tcPr>
            <w:tcW w:w="1838" w:type="dxa"/>
            <w:vMerge/>
          </w:tcPr>
          <w:p w:rsidR="00E94BB8" w:rsidRPr="00C46C70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РГС-65</w:t>
            </w:r>
          </w:p>
        </w:tc>
        <w:tc>
          <w:tcPr>
            <w:tcW w:w="1984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2,00</w:t>
            </w:r>
          </w:p>
        </w:tc>
        <w:tc>
          <w:tcPr>
            <w:tcW w:w="1418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1 830 000,00</w:t>
            </w:r>
          </w:p>
        </w:tc>
        <w:tc>
          <w:tcPr>
            <w:tcW w:w="1842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845 411,24</w:t>
            </w:r>
          </w:p>
        </w:tc>
        <w:tc>
          <w:tcPr>
            <w:tcW w:w="1701" w:type="dxa"/>
          </w:tcPr>
          <w:p w:rsidR="00E94BB8" w:rsidRPr="00C46C70" w:rsidRDefault="00E94BB8" w:rsidP="000F2D1E">
            <w:pPr>
              <w:jc w:val="both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375 600,00</w:t>
            </w:r>
          </w:p>
        </w:tc>
        <w:tc>
          <w:tcPr>
            <w:tcW w:w="3969" w:type="dxa"/>
          </w:tcPr>
          <w:p w:rsidR="00E94BB8" w:rsidRPr="00C46C70" w:rsidRDefault="00E94BB8" w:rsidP="000F2D1E">
            <w:pPr>
              <w:jc w:val="both"/>
              <w:rPr>
                <w:b/>
              </w:rPr>
            </w:pPr>
            <w:r w:rsidRPr="00C46C70">
              <w:rPr>
                <w:rFonts w:ascii="Times New Roman" w:hAnsi="Times New Roman"/>
                <w:color w:val="000000"/>
              </w:rPr>
              <w:t>В связи с превышением коэффициента вариации более 33% (составил 72,98%)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60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C46C70">
              <w:rPr>
                <w:rFonts w:ascii="Times New Roman" w:hAnsi="Times New Roman"/>
                <w:b/>
              </w:rPr>
              <w:t>845 411,24</w:t>
            </w:r>
          </w:p>
        </w:tc>
      </w:tr>
      <w:tr w:rsidR="00E94BB8" w:rsidRPr="00C46C70" w:rsidTr="00E94BB8">
        <w:trPr>
          <w:trHeight w:val="411"/>
        </w:trPr>
        <w:tc>
          <w:tcPr>
            <w:tcW w:w="1838" w:type="dxa"/>
            <w:vMerge/>
          </w:tcPr>
          <w:p w:rsidR="00E94BB8" w:rsidRPr="00C46C70" w:rsidRDefault="00E94BB8" w:rsidP="000F2D1E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РГС-80</w:t>
            </w:r>
          </w:p>
        </w:tc>
        <w:tc>
          <w:tcPr>
            <w:tcW w:w="1984" w:type="dxa"/>
          </w:tcPr>
          <w:p w:rsidR="00E94BB8" w:rsidRPr="00C46C70" w:rsidRDefault="00E94BB8" w:rsidP="000F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46C70">
              <w:rPr>
                <w:rFonts w:ascii="Times New Roman" w:eastAsia="Times New Roman" w:hAnsi="Times New Roman"/>
                <w:szCs w:val="24"/>
              </w:rPr>
              <w:t>2,00</w:t>
            </w:r>
          </w:p>
        </w:tc>
        <w:tc>
          <w:tcPr>
            <w:tcW w:w="1418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2 110 000,00</w:t>
            </w:r>
          </w:p>
        </w:tc>
        <w:tc>
          <w:tcPr>
            <w:tcW w:w="1842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845 411,24</w:t>
            </w:r>
          </w:p>
        </w:tc>
        <w:tc>
          <w:tcPr>
            <w:tcW w:w="1701" w:type="dxa"/>
          </w:tcPr>
          <w:p w:rsidR="00E94BB8" w:rsidRPr="00C46C70" w:rsidRDefault="00E94BB8" w:rsidP="000F2D1E">
            <w:pPr>
              <w:jc w:val="both"/>
              <w:rPr>
                <w:rFonts w:ascii="Times New Roman" w:hAnsi="Times New Roman"/>
              </w:rPr>
            </w:pPr>
            <w:r w:rsidRPr="00C46C70">
              <w:rPr>
                <w:rFonts w:ascii="Times New Roman" w:hAnsi="Times New Roman"/>
              </w:rPr>
              <w:t>375 600,00</w:t>
            </w:r>
          </w:p>
        </w:tc>
        <w:tc>
          <w:tcPr>
            <w:tcW w:w="3969" w:type="dxa"/>
          </w:tcPr>
          <w:p w:rsidR="00E94BB8" w:rsidRPr="00C46C70" w:rsidRDefault="00E94BB8" w:rsidP="000F2D1E">
            <w:pPr>
              <w:jc w:val="both"/>
              <w:rPr>
                <w:b/>
              </w:rPr>
            </w:pPr>
            <w:r w:rsidRPr="00C46C70">
              <w:rPr>
                <w:rFonts w:ascii="Times New Roman" w:hAnsi="Times New Roman"/>
                <w:color w:val="000000"/>
              </w:rPr>
              <w:t>В связи с превышением коэффициента вариации более 33% (составил 80,79%) для определения НМЦД были исключены самые большие и малые значения коммерческих предложений</w:t>
            </w:r>
          </w:p>
        </w:tc>
        <w:tc>
          <w:tcPr>
            <w:tcW w:w="1560" w:type="dxa"/>
          </w:tcPr>
          <w:p w:rsidR="00E94BB8" w:rsidRPr="00C46C70" w:rsidRDefault="00E94BB8" w:rsidP="000F2D1E">
            <w:pPr>
              <w:jc w:val="center"/>
              <w:rPr>
                <w:rFonts w:ascii="Times New Roman" w:hAnsi="Times New Roman"/>
                <w:b/>
              </w:rPr>
            </w:pPr>
            <w:r w:rsidRPr="00C46C70">
              <w:rPr>
                <w:rFonts w:ascii="Times New Roman" w:hAnsi="Times New Roman"/>
                <w:b/>
              </w:rPr>
              <w:t>845 411,24</w:t>
            </w:r>
          </w:p>
        </w:tc>
      </w:tr>
      <w:tr w:rsidR="00E94BB8" w:rsidRPr="00C46C70" w:rsidTr="00E94BB8">
        <w:trPr>
          <w:trHeight w:val="411"/>
        </w:trPr>
        <w:tc>
          <w:tcPr>
            <w:tcW w:w="14170" w:type="dxa"/>
            <w:gridSpan w:val="7"/>
          </w:tcPr>
          <w:p w:rsidR="00E94BB8" w:rsidRPr="00C46C70" w:rsidRDefault="00E94BB8" w:rsidP="000F2D1E">
            <w:pPr>
              <w:spacing w:after="0" w:line="0" w:lineRule="atLeast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46C7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E94BB8" w:rsidRPr="00C46C70" w:rsidRDefault="00E94BB8" w:rsidP="000F2D1E">
            <w:pPr>
              <w:spacing w:after="0" w:line="0" w:lineRule="atLeast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87230">
              <w:rPr>
                <w:rFonts w:ascii="Times New Roman" w:hAnsi="Times New Roman"/>
                <w:b/>
              </w:rPr>
              <w:t>3 023 970,96</w:t>
            </w:r>
          </w:p>
        </w:tc>
      </w:tr>
    </w:tbl>
    <w:p w:rsidR="00E94BB8" w:rsidRPr="00E94BB8" w:rsidRDefault="00E94BB8" w:rsidP="00E94BB8">
      <w:pPr>
        <w:tabs>
          <w:tab w:val="left" w:pos="4635"/>
        </w:tabs>
        <w:rPr>
          <w:rFonts w:ascii="Times New Roman" w:eastAsia="Arial" w:hAnsi="Times New Roman"/>
          <w:b/>
          <w:sz w:val="20"/>
          <w:szCs w:val="24"/>
          <w:lang w:eastAsia="ar-SA"/>
        </w:rPr>
        <w:sectPr w:rsidR="00E94BB8" w:rsidRPr="00E94BB8" w:rsidSect="001A641F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0D1D7C" w:rsidRPr="001D2A3C" w:rsidRDefault="000D1D7C" w:rsidP="00FE7D68">
      <w:pPr>
        <w:pStyle w:val="af1"/>
        <w:spacing w:before="0"/>
        <w:ind w:left="-567" w:firstLine="567"/>
        <w:rPr>
          <w:rFonts w:ascii="Times New Roman" w:hAnsi="Times New Roman"/>
          <w:sz w:val="24"/>
          <w:szCs w:val="24"/>
        </w:rPr>
      </w:pPr>
    </w:p>
    <w:sectPr w:rsidR="000D1D7C" w:rsidRPr="001D2A3C" w:rsidSect="001015FA">
      <w:pgSz w:w="11906" w:h="16838"/>
      <w:pgMar w:top="568" w:right="850" w:bottom="5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FA" w:rsidRDefault="001015FA" w:rsidP="001015FA">
      <w:pPr>
        <w:spacing w:after="0" w:line="240" w:lineRule="auto"/>
      </w:pPr>
      <w:r>
        <w:separator/>
      </w:r>
    </w:p>
  </w:endnote>
  <w:endnote w:type="continuationSeparator" w:id="0">
    <w:p w:rsidR="001015FA" w:rsidRDefault="001015FA" w:rsidP="001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libri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FA" w:rsidRDefault="001015FA" w:rsidP="001015FA">
      <w:pPr>
        <w:spacing w:after="0" w:line="240" w:lineRule="auto"/>
      </w:pPr>
      <w:r>
        <w:separator/>
      </w:r>
    </w:p>
  </w:footnote>
  <w:footnote w:type="continuationSeparator" w:id="0">
    <w:p w:rsidR="001015FA" w:rsidRDefault="001015FA" w:rsidP="0010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81F"/>
    <w:multiLevelType w:val="hybridMultilevel"/>
    <w:tmpl w:val="7E54C650"/>
    <w:lvl w:ilvl="0" w:tplc="0EB8EFE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0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E76E3E"/>
    <w:multiLevelType w:val="multilevel"/>
    <w:tmpl w:val="D57A26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DF53E12"/>
    <w:multiLevelType w:val="multilevel"/>
    <w:tmpl w:val="17F0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87F13D4"/>
    <w:multiLevelType w:val="hybridMultilevel"/>
    <w:tmpl w:val="7890B6F2"/>
    <w:lvl w:ilvl="0" w:tplc="2866499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" w:hanging="360"/>
      </w:pPr>
    </w:lvl>
    <w:lvl w:ilvl="2" w:tplc="0419001B" w:tentative="1">
      <w:start w:val="1"/>
      <w:numFmt w:val="lowerRoman"/>
      <w:lvlText w:val="%3."/>
      <w:lvlJc w:val="right"/>
      <w:pPr>
        <w:ind w:left="1540" w:hanging="180"/>
      </w:pPr>
    </w:lvl>
    <w:lvl w:ilvl="3" w:tplc="0419000F" w:tentative="1">
      <w:start w:val="1"/>
      <w:numFmt w:val="decimal"/>
      <w:lvlText w:val="%4."/>
      <w:lvlJc w:val="left"/>
      <w:pPr>
        <w:ind w:left="2260" w:hanging="360"/>
      </w:pPr>
    </w:lvl>
    <w:lvl w:ilvl="4" w:tplc="04190019" w:tentative="1">
      <w:start w:val="1"/>
      <w:numFmt w:val="lowerLetter"/>
      <w:lvlText w:val="%5."/>
      <w:lvlJc w:val="left"/>
      <w:pPr>
        <w:ind w:left="2980" w:hanging="360"/>
      </w:pPr>
    </w:lvl>
    <w:lvl w:ilvl="5" w:tplc="0419001B" w:tentative="1">
      <w:start w:val="1"/>
      <w:numFmt w:val="lowerRoman"/>
      <w:lvlText w:val="%6."/>
      <w:lvlJc w:val="right"/>
      <w:pPr>
        <w:ind w:left="3700" w:hanging="180"/>
      </w:pPr>
    </w:lvl>
    <w:lvl w:ilvl="6" w:tplc="0419000F" w:tentative="1">
      <w:start w:val="1"/>
      <w:numFmt w:val="decimal"/>
      <w:lvlText w:val="%7."/>
      <w:lvlJc w:val="left"/>
      <w:pPr>
        <w:ind w:left="4420" w:hanging="360"/>
      </w:pPr>
    </w:lvl>
    <w:lvl w:ilvl="7" w:tplc="04190019" w:tentative="1">
      <w:start w:val="1"/>
      <w:numFmt w:val="lowerLetter"/>
      <w:lvlText w:val="%8."/>
      <w:lvlJc w:val="left"/>
      <w:pPr>
        <w:ind w:left="5140" w:hanging="360"/>
      </w:pPr>
    </w:lvl>
    <w:lvl w:ilvl="8" w:tplc="041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4" w15:restartNumberingAfterBreak="0">
    <w:nsid w:val="56C7583F"/>
    <w:multiLevelType w:val="hybridMultilevel"/>
    <w:tmpl w:val="507C3464"/>
    <w:lvl w:ilvl="0" w:tplc="04190005">
      <w:start w:val="1"/>
      <w:numFmt w:val="bullet"/>
      <w:lvlText w:val="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5F2847D2"/>
    <w:multiLevelType w:val="multilevel"/>
    <w:tmpl w:val="DD0258C6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C04203"/>
    <w:multiLevelType w:val="multilevel"/>
    <w:tmpl w:val="81E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6C47C6B"/>
    <w:multiLevelType w:val="hybridMultilevel"/>
    <w:tmpl w:val="EB3C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1"/>
    <w:rsid w:val="000034A0"/>
    <w:rsid w:val="00003F4B"/>
    <w:rsid w:val="0000575C"/>
    <w:rsid w:val="00033B17"/>
    <w:rsid w:val="00060A1C"/>
    <w:rsid w:val="00067C48"/>
    <w:rsid w:val="000B1057"/>
    <w:rsid w:val="000B7602"/>
    <w:rsid w:val="000C46A5"/>
    <w:rsid w:val="000C4CBE"/>
    <w:rsid w:val="000D1D7C"/>
    <w:rsid w:val="000E300D"/>
    <w:rsid w:val="000F2D1E"/>
    <w:rsid w:val="000F5E11"/>
    <w:rsid w:val="001015FA"/>
    <w:rsid w:val="001116FB"/>
    <w:rsid w:val="00144F07"/>
    <w:rsid w:val="0016003C"/>
    <w:rsid w:val="0016062D"/>
    <w:rsid w:val="00162C1D"/>
    <w:rsid w:val="0016485F"/>
    <w:rsid w:val="00167405"/>
    <w:rsid w:val="00174BCA"/>
    <w:rsid w:val="00177051"/>
    <w:rsid w:val="001820C8"/>
    <w:rsid w:val="0018605D"/>
    <w:rsid w:val="001939D4"/>
    <w:rsid w:val="001957FF"/>
    <w:rsid w:val="001A641F"/>
    <w:rsid w:val="001B12BA"/>
    <w:rsid w:val="001D2A3C"/>
    <w:rsid w:val="001D325A"/>
    <w:rsid w:val="001D4524"/>
    <w:rsid w:val="001E0E24"/>
    <w:rsid w:val="001E4E50"/>
    <w:rsid w:val="001F41AD"/>
    <w:rsid w:val="0020115C"/>
    <w:rsid w:val="002202DD"/>
    <w:rsid w:val="002274AF"/>
    <w:rsid w:val="00237F09"/>
    <w:rsid w:val="00267171"/>
    <w:rsid w:val="00273806"/>
    <w:rsid w:val="00273C7F"/>
    <w:rsid w:val="002838B0"/>
    <w:rsid w:val="0029501F"/>
    <w:rsid w:val="00297ED4"/>
    <w:rsid w:val="002B0F67"/>
    <w:rsid w:val="002B7B57"/>
    <w:rsid w:val="002D1D95"/>
    <w:rsid w:val="002D2829"/>
    <w:rsid w:val="002D2A12"/>
    <w:rsid w:val="002D350E"/>
    <w:rsid w:val="002D3B43"/>
    <w:rsid w:val="002E6DE8"/>
    <w:rsid w:val="002F1E0B"/>
    <w:rsid w:val="00304723"/>
    <w:rsid w:val="00314CA0"/>
    <w:rsid w:val="00324CE6"/>
    <w:rsid w:val="00326EDA"/>
    <w:rsid w:val="003273A9"/>
    <w:rsid w:val="00337174"/>
    <w:rsid w:val="0034022E"/>
    <w:rsid w:val="00342F8A"/>
    <w:rsid w:val="00356F22"/>
    <w:rsid w:val="003604A9"/>
    <w:rsid w:val="00366462"/>
    <w:rsid w:val="00372A03"/>
    <w:rsid w:val="0037495C"/>
    <w:rsid w:val="003771C3"/>
    <w:rsid w:val="00377E88"/>
    <w:rsid w:val="003A0F34"/>
    <w:rsid w:val="003A7BD3"/>
    <w:rsid w:val="003C3DD9"/>
    <w:rsid w:val="003C5552"/>
    <w:rsid w:val="003E0904"/>
    <w:rsid w:val="003F7458"/>
    <w:rsid w:val="0040729F"/>
    <w:rsid w:val="004074A6"/>
    <w:rsid w:val="0042135F"/>
    <w:rsid w:val="00427D4B"/>
    <w:rsid w:val="00461BAE"/>
    <w:rsid w:val="00467573"/>
    <w:rsid w:val="0047283E"/>
    <w:rsid w:val="00473AB4"/>
    <w:rsid w:val="004907E0"/>
    <w:rsid w:val="004911D6"/>
    <w:rsid w:val="004B16F7"/>
    <w:rsid w:val="004B2C2E"/>
    <w:rsid w:val="004B3DB6"/>
    <w:rsid w:val="004B7FE6"/>
    <w:rsid w:val="004C772D"/>
    <w:rsid w:val="004E119B"/>
    <w:rsid w:val="004E2246"/>
    <w:rsid w:val="004E5772"/>
    <w:rsid w:val="004E7EA6"/>
    <w:rsid w:val="004F3B3A"/>
    <w:rsid w:val="004F600D"/>
    <w:rsid w:val="0050621E"/>
    <w:rsid w:val="0051465D"/>
    <w:rsid w:val="005210F1"/>
    <w:rsid w:val="005355B5"/>
    <w:rsid w:val="0054530E"/>
    <w:rsid w:val="0058037C"/>
    <w:rsid w:val="00590872"/>
    <w:rsid w:val="005A1431"/>
    <w:rsid w:val="005C1AFD"/>
    <w:rsid w:val="005C2607"/>
    <w:rsid w:val="005C5195"/>
    <w:rsid w:val="005C6A29"/>
    <w:rsid w:val="005E525E"/>
    <w:rsid w:val="005F7415"/>
    <w:rsid w:val="00601025"/>
    <w:rsid w:val="0060616A"/>
    <w:rsid w:val="00606723"/>
    <w:rsid w:val="0062611F"/>
    <w:rsid w:val="00630EB4"/>
    <w:rsid w:val="00634117"/>
    <w:rsid w:val="00635619"/>
    <w:rsid w:val="006432D4"/>
    <w:rsid w:val="0066000A"/>
    <w:rsid w:val="00667C61"/>
    <w:rsid w:val="0067219A"/>
    <w:rsid w:val="00674358"/>
    <w:rsid w:val="006A4086"/>
    <w:rsid w:val="006B02B2"/>
    <w:rsid w:val="006B1FE2"/>
    <w:rsid w:val="006D51E8"/>
    <w:rsid w:val="006D5E8F"/>
    <w:rsid w:val="006D6144"/>
    <w:rsid w:val="006D6F68"/>
    <w:rsid w:val="006E1EDE"/>
    <w:rsid w:val="007232BD"/>
    <w:rsid w:val="007335AA"/>
    <w:rsid w:val="0073698B"/>
    <w:rsid w:val="00743652"/>
    <w:rsid w:val="00744907"/>
    <w:rsid w:val="00753C71"/>
    <w:rsid w:val="00777A51"/>
    <w:rsid w:val="00795887"/>
    <w:rsid w:val="007A40BB"/>
    <w:rsid w:val="007A54E8"/>
    <w:rsid w:val="007A560E"/>
    <w:rsid w:val="007C0B3C"/>
    <w:rsid w:val="007C2FFD"/>
    <w:rsid w:val="007E1343"/>
    <w:rsid w:val="007F3BF0"/>
    <w:rsid w:val="00814131"/>
    <w:rsid w:val="008254D2"/>
    <w:rsid w:val="008258D2"/>
    <w:rsid w:val="00831DA6"/>
    <w:rsid w:val="0083368D"/>
    <w:rsid w:val="00833970"/>
    <w:rsid w:val="008523B1"/>
    <w:rsid w:val="00855893"/>
    <w:rsid w:val="0085683B"/>
    <w:rsid w:val="008623ED"/>
    <w:rsid w:val="00874F9C"/>
    <w:rsid w:val="0087500B"/>
    <w:rsid w:val="00875125"/>
    <w:rsid w:val="00875D22"/>
    <w:rsid w:val="0087797F"/>
    <w:rsid w:val="00880B3A"/>
    <w:rsid w:val="00886F49"/>
    <w:rsid w:val="008A1CF1"/>
    <w:rsid w:val="008A3442"/>
    <w:rsid w:val="008B6A3E"/>
    <w:rsid w:val="008C1E9A"/>
    <w:rsid w:val="008C504E"/>
    <w:rsid w:val="008C5B31"/>
    <w:rsid w:val="008E5FFE"/>
    <w:rsid w:val="008E797F"/>
    <w:rsid w:val="009039A1"/>
    <w:rsid w:val="009042B8"/>
    <w:rsid w:val="0090578E"/>
    <w:rsid w:val="009260DF"/>
    <w:rsid w:val="0093781A"/>
    <w:rsid w:val="00952692"/>
    <w:rsid w:val="00956900"/>
    <w:rsid w:val="00961476"/>
    <w:rsid w:val="009647A2"/>
    <w:rsid w:val="00965094"/>
    <w:rsid w:val="0098361B"/>
    <w:rsid w:val="00995D92"/>
    <w:rsid w:val="009A08C2"/>
    <w:rsid w:val="009B678F"/>
    <w:rsid w:val="009C5041"/>
    <w:rsid w:val="009E1A1F"/>
    <w:rsid w:val="009F5F76"/>
    <w:rsid w:val="00A0163A"/>
    <w:rsid w:val="00A073B6"/>
    <w:rsid w:val="00A210B9"/>
    <w:rsid w:val="00A26D88"/>
    <w:rsid w:val="00A349D5"/>
    <w:rsid w:val="00A36C4C"/>
    <w:rsid w:val="00A52113"/>
    <w:rsid w:val="00A62CAA"/>
    <w:rsid w:val="00A66EF5"/>
    <w:rsid w:val="00A818AA"/>
    <w:rsid w:val="00A85531"/>
    <w:rsid w:val="00A936EE"/>
    <w:rsid w:val="00A96E72"/>
    <w:rsid w:val="00A97A03"/>
    <w:rsid w:val="00AA2547"/>
    <w:rsid w:val="00AA4B98"/>
    <w:rsid w:val="00AC06C3"/>
    <w:rsid w:val="00AF0E52"/>
    <w:rsid w:val="00AF122B"/>
    <w:rsid w:val="00AF6E3C"/>
    <w:rsid w:val="00B01A0E"/>
    <w:rsid w:val="00B10713"/>
    <w:rsid w:val="00B113B5"/>
    <w:rsid w:val="00B3647B"/>
    <w:rsid w:val="00B36A6C"/>
    <w:rsid w:val="00B54645"/>
    <w:rsid w:val="00B6273B"/>
    <w:rsid w:val="00B6541E"/>
    <w:rsid w:val="00B67474"/>
    <w:rsid w:val="00B67F6C"/>
    <w:rsid w:val="00B91FA7"/>
    <w:rsid w:val="00B95EA8"/>
    <w:rsid w:val="00BA5173"/>
    <w:rsid w:val="00BB1E85"/>
    <w:rsid w:val="00BB3260"/>
    <w:rsid w:val="00BB42E1"/>
    <w:rsid w:val="00BC33B9"/>
    <w:rsid w:val="00BD133D"/>
    <w:rsid w:val="00BE63BE"/>
    <w:rsid w:val="00BF2ED0"/>
    <w:rsid w:val="00BF5EA5"/>
    <w:rsid w:val="00C02438"/>
    <w:rsid w:val="00C0678B"/>
    <w:rsid w:val="00C30298"/>
    <w:rsid w:val="00C40724"/>
    <w:rsid w:val="00C446F9"/>
    <w:rsid w:val="00C515AB"/>
    <w:rsid w:val="00C76254"/>
    <w:rsid w:val="00C82FDF"/>
    <w:rsid w:val="00C8779A"/>
    <w:rsid w:val="00C916F6"/>
    <w:rsid w:val="00CA6AAB"/>
    <w:rsid w:val="00CB47C7"/>
    <w:rsid w:val="00CD0FB7"/>
    <w:rsid w:val="00CD18B8"/>
    <w:rsid w:val="00CF2C1C"/>
    <w:rsid w:val="00CF42B7"/>
    <w:rsid w:val="00D10538"/>
    <w:rsid w:val="00D213DD"/>
    <w:rsid w:val="00D3014B"/>
    <w:rsid w:val="00D40B80"/>
    <w:rsid w:val="00D46402"/>
    <w:rsid w:val="00D50CDE"/>
    <w:rsid w:val="00D53732"/>
    <w:rsid w:val="00D57D8F"/>
    <w:rsid w:val="00D60A0C"/>
    <w:rsid w:val="00D72D0F"/>
    <w:rsid w:val="00D8273A"/>
    <w:rsid w:val="00D82C76"/>
    <w:rsid w:val="00DA3A54"/>
    <w:rsid w:val="00DB7E17"/>
    <w:rsid w:val="00DE6852"/>
    <w:rsid w:val="00DF1507"/>
    <w:rsid w:val="00E025C9"/>
    <w:rsid w:val="00E12077"/>
    <w:rsid w:val="00E3002F"/>
    <w:rsid w:val="00E36BCB"/>
    <w:rsid w:val="00E440BC"/>
    <w:rsid w:val="00E4517B"/>
    <w:rsid w:val="00E56BEE"/>
    <w:rsid w:val="00E6702E"/>
    <w:rsid w:val="00E84D01"/>
    <w:rsid w:val="00E92AB0"/>
    <w:rsid w:val="00E94BB8"/>
    <w:rsid w:val="00E96F0C"/>
    <w:rsid w:val="00EA4BDE"/>
    <w:rsid w:val="00EA732F"/>
    <w:rsid w:val="00EB6CCD"/>
    <w:rsid w:val="00EC5205"/>
    <w:rsid w:val="00ED1C3A"/>
    <w:rsid w:val="00ED47EE"/>
    <w:rsid w:val="00ED6D06"/>
    <w:rsid w:val="00F01D80"/>
    <w:rsid w:val="00F10785"/>
    <w:rsid w:val="00F167CE"/>
    <w:rsid w:val="00F35D26"/>
    <w:rsid w:val="00F442CA"/>
    <w:rsid w:val="00F50518"/>
    <w:rsid w:val="00F54E09"/>
    <w:rsid w:val="00F66EA6"/>
    <w:rsid w:val="00F71FC7"/>
    <w:rsid w:val="00F74462"/>
    <w:rsid w:val="00FA608C"/>
    <w:rsid w:val="00FA756C"/>
    <w:rsid w:val="00FC3B67"/>
    <w:rsid w:val="00FD69B6"/>
    <w:rsid w:val="00FE7D68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C0B5-8A80-4580-BEF8-42934368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1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55B5"/>
    <w:rPr>
      <w:color w:val="0000FF"/>
      <w:u w:val="single"/>
    </w:rPr>
  </w:style>
  <w:style w:type="paragraph" w:styleId="a6">
    <w:name w:val="No Spacing"/>
    <w:uiPriority w:val="1"/>
    <w:qFormat/>
    <w:rsid w:val="005355B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AA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AB4"/>
    <w:rPr>
      <w:rFonts w:ascii="Segoe UI" w:eastAsia="Calibri" w:hAnsi="Segoe UI" w:cs="Segoe UI"/>
      <w:sz w:val="18"/>
      <w:szCs w:val="18"/>
    </w:rPr>
  </w:style>
  <w:style w:type="character" w:customStyle="1" w:styleId="aa">
    <w:name w:val="Другое_"/>
    <w:basedOn w:val="a0"/>
    <w:link w:val="ab"/>
    <w:rsid w:val="001957FF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Другое"/>
    <w:basedOn w:val="a"/>
    <w:link w:val="aa"/>
    <w:rsid w:val="001957FF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layout">
    <w:name w:val="layout"/>
    <w:basedOn w:val="a0"/>
    <w:rsid w:val="00067C48"/>
  </w:style>
  <w:style w:type="character" w:customStyle="1" w:styleId="a4">
    <w:name w:val="Абзац списка Знак"/>
    <w:link w:val="a3"/>
    <w:locked/>
    <w:rsid w:val="006E1ED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69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69B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69B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69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69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1">
    <w:name w:val="[Ростех] Простой текст (Без уровня)"/>
    <w:link w:val="af2"/>
    <w:uiPriority w:val="99"/>
    <w:qFormat/>
    <w:rsid w:val="001D2A3C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2">
    <w:name w:val="[Ростех] Простой текст (Без уровня) Знак"/>
    <w:basedOn w:val="a0"/>
    <w:link w:val="af1"/>
    <w:uiPriority w:val="99"/>
    <w:rsid w:val="001D2A3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7"/>
    <w:uiPriority w:val="39"/>
    <w:rsid w:val="000D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1A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E94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0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15F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0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5AF3-E378-42A0-9A0E-52513C6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Поляничко Виктор Викторович</dc:creator>
  <cp:keywords/>
  <dc:description/>
  <cp:lastModifiedBy>Голокова Елена Владимировна</cp:lastModifiedBy>
  <cp:revision>25</cp:revision>
  <cp:lastPrinted>2024-01-25T02:17:00Z</cp:lastPrinted>
  <dcterms:created xsi:type="dcterms:W3CDTF">2024-02-20T02:27:00Z</dcterms:created>
  <dcterms:modified xsi:type="dcterms:W3CDTF">2024-03-15T00:31:00Z</dcterms:modified>
</cp:coreProperties>
</file>